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Judge Tim </w:t>
      </w:r>
      <w:proofErr w:type="spellStart"/>
      <w:r>
        <w:rPr>
          <w:rFonts w:ascii="Garamond" w:eastAsia="Garamond" w:hAnsi="Garamond" w:cs="Garamond"/>
          <w:sz w:val="24"/>
          <w:szCs w:val="24"/>
        </w:rPr>
        <w:t>Eicke</w:t>
      </w:r>
      <w:proofErr w:type="spellEnd"/>
    </w:p>
    <w:p w14:paraId="00000002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Vice-President, Fourth Section</w:t>
      </w:r>
    </w:p>
    <w:p w14:paraId="00000003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European Court of Human Rights</w:t>
      </w:r>
    </w:p>
    <w:p w14:paraId="00000004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Council of Europe</w:t>
      </w:r>
    </w:p>
    <w:p w14:paraId="00000005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F-67075</w:t>
      </w:r>
    </w:p>
    <w:p w14:paraId="00000006" w14:textId="77777777" w:rsidR="001C1CCF" w:rsidRDefault="00000000">
      <w:pPr>
        <w:spacing w:after="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FRANCE</w:t>
      </w:r>
    </w:p>
    <w:p w14:paraId="00000007" w14:textId="77777777" w:rsidR="001C1CCF" w:rsidRDefault="001C1CCF">
      <w:pPr>
        <w:rPr>
          <w:rFonts w:ascii="Garamond" w:eastAsia="Garamond" w:hAnsi="Garamond" w:cs="Garamond"/>
          <w:sz w:val="24"/>
          <w:szCs w:val="24"/>
        </w:rPr>
      </w:pPr>
    </w:p>
    <w:p w14:paraId="00000008" w14:textId="77777777" w:rsidR="001C1CCF" w:rsidRDefault="00000000">
      <w:pPr>
        <w:jc w:val="right"/>
        <w:rPr>
          <w:rFonts w:ascii="Garamond" w:eastAsia="Garamond" w:hAnsi="Garamond" w:cs="Garamond"/>
          <w:sz w:val="24"/>
          <w:szCs w:val="24"/>
        </w:rPr>
      </w:pP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[DATE]</w:t>
      </w:r>
    </w:p>
    <w:p w14:paraId="00000009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Re: </w:t>
      </w:r>
      <w:proofErr w:type="spellStart"/>
      <w:r>
        <w:rPr>
          <w:rFonts w:ascii="Garamond" w:eastAsia="Garamond" w:hAnsi="Garamond" w:cs="Garamond"/>
          <w:b/>
          <w:i/>
          <w:sz w:val="24"/>
          <w:szCs w:val="24"/>
        </w:rPr>
        <w:t>Müllner</w:t>
      </w:r>
      <w:proofErr w:type="spellEnd"/>
      <w:r>
        <w:rPr>
          <w:rFonts w:ascii="Garamond" w:eastAsia="Garamond" w:hAnsi="Garamond" w:cs="Garamond"/>
          <w:b/>
          <w:i/>
          <w:sz w:val="24"/>
          <w:szCs w:val="24"/>
        </w:rPr>
        <w:t xml:space="preserve"> v Austria</w:t>
      </w:r>
      <w:r>
        <w:rPr>
          <w:rFonts w:ascii="Garamond" w:eastAsia="Garamond" w:hAnsi="Garamond" w:cs="Garamond"/>
          <w:b/>
          <w:sz w:val="24"/>
          <w:szCs w:val="24"/>
        </w:rPr>
        <w:t xml:space="preserve"> (Application no. 18859/21)</w:t>
      </w:r>
    </w:p>
    <w:p w14:paraId="0000000A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Dear Judge Eike,</w:t>
      </w:r>
    </w:p>
    <w:p w14:paraId="0000000B" w14:textId="0C64439F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Pursuant to Article 36 of the Convention and Rule 44(3) of the Rules of the Court, </w:t>
      </w: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[</w:t>
      </w:r>
      <w:r w:rsidRPr="00F41DB7">
        <w:rPr>
          <w:rFonts w:ascii="Garamond" w:eastAsia="Garamond" w:hAnsi="Garamond" w:cs="Garamond"/>
          <w:i/>
          <w:sz w:val="24"/>
          <w:szCs w:val="24"/>
          <w:highlight w:val="yellow"/>
        </w:rPr>
        <w:t>PROPOSED INTERVENER(S)</w:t>
      </w: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]</w:t>
      </w:r>
      <w:r>
        <w:rPr>
          <w:rFonts w:ascii="Garamond" w:eastAsia="Garamond" w:hAnsi="Garamond" w:cs="Garamond"/>
          <w:sz w:val="24"/>
          <w:szCs w:val="24"/>
        </w:rPr>
        <w:t xml:space="preserve"> respectfully request</w:t>
      </w:r>
      <w:r w:rsidR="00F41DB7">
        <w:rPr>
          <w:rFonts w:ascii="Garamond" w:eastAsia="Garamond" w:hAnsi="Garamond" w:cs="Garamond"/>
          <w:sz w:val="24"/>
          <w:szCs w:val="24"/>
        </w:rPr>
        <w:t>s</w:t>
      </w:r>
      <w:r>
        <w:rPr>
          <w:rFonts w:ascii="Garamond" w:eastAsia="Garamond" w:hAnsi="Garamond" w:cs="Garamond"/>
          <w:sz w:val="24"/>
          <w:szCs w:val="24"/>
        </w:rPr>
        <w:t xml:space="preserve"> leave to intervene in the above case.</w:t>
      </w:r>
    </w:p>
    <w:p w14:paraId="0000000C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About the [</w:t>
      </w:r>
      <w:r w:rsidRPr="000520F9">
        <w:rPr>
          <w:rFonts w:ascii="Garamond" w:eastAsia="Garamond" w:hAnsi="Garamond" w:cs="Garamond"/>
          <w:b/>
          <w:i/>
          <w:sz w:val="24"/>
          <w:szCs w:val="24"/>
          <w:highlight w:val="yellow"/>
        </w:rPr>
        <w:t>PROPOSED INTERVENER</w:t>
      </w:r>
      <w:r w:rsidRPr="000520F9">
        <w:rPr>
          <w:rFonts w:ascii="Garamond" w:eastAsia="Garamond" w:hAnsi="Garamond" w:cs="Garamond"/>
          <w:b/>
          <w:sz w:val="24"/>
          <w:szCs w:val="24"/>
          <w:highlight w:val="yellow"/>
        </w:rPr>
        <w:t>]</w:t>
      </w:r>
    </w:p>
    <w:p w14:paraId="0000000D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0520F9">
        <w:rPr>
          <w:rFonts w:ascii="Garamond" w:eastAsia="Garamond" w:hAnsi="Garamond" w:cs="Garamond"/>
          <w:sz w:val="24"/>
          <w:szCs w:val="24"/>
          <w:highlight w:val="yellow"/>
        </w:rPr>
        <w:t>[Here it would be appropriate to outline the mission of the intervener organisation with a short summary of its relevant work and expertise]</w:t>
      </w:r>
    </w:p>
    <w:p w14:paraId="0000000E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Scope of the proposed intervention </w:t>
      </w:r>
    </w:p>
    <w:p w14:paraId="0000000F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its “questions to the parties”</w:t>
      </w:r>
      <w:r>
        <w:rPr>
          <w:rFonts w:ascii="Garamond" w:eastAsia="Garamond" w:hAnsi="Garamond" w:cs="Garamond"/>
          <w:sz w:val="24"/>
          <w:szCs w:val="24"/>
          <w:vertAlign w:val="superscript"/>
        </w:rPr>
        <w:footnoteReference w:id="1"/>
      </w:r>
      <w:r>
        <w:rPr>
          <w:rFonts w:ascii="Garamond" w:eastAsia="Garamond" w:hAnsi="Garamond" w:cs="Garamond"/>
          <w:sz w:val="24"/>
          <w:szCs w:val="24"/>
        </w:rPr>
        <w:t xml:space="preserve"> in the above matter, the Court has asked: </w:t>
      </w:r>
    </w:p>
    <w:p w14:paraId="00000010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1.  Is the application admissible? In particular:</w:t>
      </w:r>
    </w:p>
    <w:p w14:paraId="00000011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2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heading=h.30j0zll" w:colFirst="0" w:colLast="0"/>
      <w:bookmarkEnd w:id="0"/>
      <w:r>
        <w:rPr>
          <w:rFonts w:ascii="Garamond" w:eastAsia="Garamond" w:hAnsi="Garamond" w:cs="Garamond"/>
          <w:sz w:val="24"/>
          <w:szCs w:val="24"/>
        </w:rPr>
        <w:t>a.  Has the applicant exhausted all effective domestic remedies, as required by Article 35 § 1 of the Convention in respect of each of his complaints lodged with the Court under Articles 6, 8 and 13 of the Convention (see </w:t>
      </w:r>
      <w:r>
        <w:rPr>
          <w:rFonts w:ascii="Garamond" w:eastAsia="Garamond" w:hAnsi="Garamond" w:cs="Garamond"/>
          <w:i/>
          <w:sz w:val="24"/>
          <w:szCs w:val="24"/>
        </w:rPr>
        <w:t>Duarte Agostinho and Others v. Portugal and Others</w:t>
      </w:r>
      <w:r>
        <w:rPr>
          <w:rFonts w:ascii="Garamond" w:eastAsia="Garamond" w:hAnsi="Garamond" w:cs="Garamond"/>
          <w:sz w:val="24"/>
          <w:szCs w:val="24"/>
        </w:rPr>
        <w:t> (dec.) [GC], no. </w:t>
      </w:r>
      <w:hyperlink r:id="rId7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39371/20</w:t>
        </w:r>
      </w:hyperlink>
      <w:r>
        <w:rPr>
          <w:rFonts w:ascii="Garamond" w:eastAsia="Garamond" w:hAnsi="Garamond" w:cs="Garamond"/>
          <w:sz w:val="24"/>
          <w:szCs w:val="24"/>
        </w:rPr>
        <w:t>, § 215, 9 April 2024, and 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Communauté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genevoise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d’action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syndicale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(CGAS) v. Switzerland</w:t>
      </w:r>
      <w:r>
        <w:rPr>
          <w:rFonts w:ascii="Garamond" w:eastAsia="Garamond" w:hAnsi="Garamond" w:cs="Garamond"/>
          <w:sz w:val="24"/>
          <w:szCs w:val="24"/>
        </w:rPr>
        <w:t> [GC], no. 21881/20, §§ 138-145, 27 November 2023)?</w:t>
      </w:r>
    </w:p>
    <w:p w14:paraId="00000013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4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b.  Can the applicant claim to be a victim of a violation of Article 8 of the Convention, within the meaning of Article 34 of the Convention (see </w:t>
      </w:r>
      <w:r>
        <w:rPr>
          <w:rFonts w:ascii="Garamond" w:eastAsia="Garamond" w:hAnsi="Garamond" w:cs="Garamond"/>
          <w:i/>
          <w:sz w:val="24"/>
          <w:szCs w:val="24"/>
        </w:rPr>
        <w:t xml:space="preserve">Verein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KlimaSeniorinnen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Schweiz and Others v. Switzerland</w:t>
      </w:r>
      <w:r>
        <w:rPr>
          <w:rFonts w:ascii="Garamond" w:eastAsia="Garamond" w:hAnsi="Garamond" w:cs="Garamond"/>
          <w:sz w:val="24"/>
          <w:szCs w:val="24"/>
        </w:rPr>
        <w:t> [GC], no. </w:t>
      </w:r>
      <w:hyperlink r:id="rId8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53600/20</w:t>
        </w:r>
      </w:hyperlink>
      <w:r>
        <w:rPr>
          <w:rFonts w:ascii="Garamond" w:eastAsia="Garamond" w:hAnsi="Garamond" w:cs="Garamond"/>
          <w:sz w:val="24"/>
          <w:szCs w:val="24"/>
        </w:rPr>
        <w:t>, §§ 460-472, 478-488, 527-535, 9 April 2024)?</w:t>
      </w:r>
    </w:p>
    <w:p w14:paraId="00000015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6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1" w:name="_heading=h.1fob9te" w:colFirst="0" w:colLast="0"/>
      <w:bookmarkEnd w:id="1"/>
      <w:r>
        <w:rPr>
          <w:rFonts w:ascii="Garamond" w:eastAsia="Garamond" w:hAnsi="Garamond" w:cs="Garamond"/>
          <w:sz w:val="24"/>
          <w:szCs w:val="24"/>
        </w:rPr>
        <w:t>c.  Was Article 6 § 1 of the Convention under its civil head applicable to the proceedings in the present case (see </w:t>
      </w:r>
      <w:r>
        <w:rPr>
          <w:rFonts w:ascii="Garamond" w:eastAsia="Garamond" w:hAnsi="Garamond" w:cs="Garamond"/>
          <w:i/>
          <w:sz w:val="24"/>
          <w:szCs w:val="24"/>
        </w:rPr>
        <w:t xml:space="preserve">Verein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KlimaSeniorinnen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Schweiz and Others</w:t>
      </w:r>
      <w:r>
        <w:rPr>
          <w:rFonts w:ascii="Garamond" w:eastAsia="Garamond" w:hAnsi="Garamond" w:cs="Garamond"/>
          <w:sz w:val="24"/>
          <w:szCs w:val="24"/>
        </w:rPr>
        <w:t>, cited above, §§ 594-625)?</w:t>
      </w:r>
    </w:p>
    <w:p w14:paraId="00000017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8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2.  To the extent that the complaints are admissible, has there been a violation of Articles 6, 8 and 13 of the Convention? In particular:</w:t>
      </w:r>
    </w:p>
    <w:p w14:paraId="00000019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> </w:t>
      </w:r>
    </w:p>
    <w:p w14:paraId="0000001A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a.  Has there been an interference with the applicant’s right to respect for his private and family life or home, within the meaning of Article 8 § 1 of the Convention?</w:t>
      </w:r>
    </w:p>
    <w:p w14:paraId="0000001B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C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Did the respondent State fail to comply with its positive obligations to effectively protect the applicant’s respect for his private and family life, including his home (see </w:t>
      </w:r>
      <w:r>
        <w:rPr>
          <w:rFonts w:ascii="Garamond" w:eastAsia="Garamond" w:hAnsi="Garamond" w:cs="Garamond"/>
          <w:i/>
          <w:sz w:val="24"/>
          <w:szCs w:val="24"/>
        </w:rPr>
        <w:t xml:space="preserve">Verein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KlimaSeniorinnen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Schweiz and Others</w:t>
      </w:r>
      <w:r>
        <w:rPr>
          <w:rFonts w:ascii="Garamond" w:eastAsia="Garamond" w:hAnsi="Garamond" w:cs="Garamond"/>
          <w:sz w:val="24"/>
          <w:szCs w:val="24"/>
        </w:rPr>
        <w:t>, cited above, §§ 538-574)?</w:t>
      </w:r>
    </w:p>
    <w:p w14:paraId="0000001D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1E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b.  Did the applicant have access to a court for the determination of his civil rights and obligations, in accordance with Article 6 § 1 of the Convention (see </w:t>
      </w:r>
      <w:r>
        <w:rPr>
          <w:rFonts w:ascii="Garamond" w:eastAsia="Garamond" w:hAnsi="Garamond" w:cs="Garamond"/>
          <w:i/>
          <w:sz w:val="24"/>
          <w:szCs w:val="24"/>
        </w:rPr>
        <w:t xml:space="preserve">Verein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KlimaSeniorinnen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Schweiz and Others</w:t>
      </w:r>
      <w:r>
        <w:rPr>
          <w:rFonts w:ascii="Garamond" w:eastAsia="Garamond" w:hAnsi="Garamond" w:cs="Garamond"/>
          <w:sz w:val="24"/>
          <w:szCs w:val="24"/>
        </w:rPr>
        <w:t>, cited above, §§ 626-640)?</w:t>
      </w:r>
    </w:p>
    <w:p w14:paraId="0000001F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20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bookmarkStart w:id="2" w:name="_heading=h.3znysh7" w:colFirst="0" w:colLast="0"/>
      <w:bookmarkEnd w:id="2"/>
      <w:r>
        <w:rPr>
          <w:rFonts w:ascii="Garamond" w:eastAsia="Garamond" w:hAnsi="Garamond" w:cs="Garamond"/>
          <w:sz w:val="24"/>
          <w:szCs w:val="24"/>
        </w:rPr>
        <w:t>Did the manner in which the Constitutional Court applied Articles 139 and 140 of the Federal Constitution involve excessive formalism (see </w:t>
      </w:r>
      <w:r>
        <w:rPr>
          <w:rFonts w:ascii="Garamond" w:eastAsia="Garamond" w:hAnsi="Garamond" w:cs="Garamond"/>
          <w:i/>
          <w:sz w:val="24"/>
          <w:szCs w:val="24"/>
        </w:rPr>
        <w:t>Zubac v. Croatia</w:t>
      </w:r>
      <w:r>
        <w:rPr>
          <w:rFonts w:ascii="Garamond" w:eastAsia="Garamond" w:hAnsi="Garamond" w:cs="Garamond"/>
          <w:sz w:val="24"/>
          <w:szCs w:val="24"/>
        </w:rPr>
        <w:t> [GC], no. </w:t>
      </w:r>
      <w:hyperlink r:id="rId9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40160/12</w:t>
        </w:r>
      </w:hyperlink>
      <w:r>
        <w:rPr>
          <w:rFonts w:ascii="Garamond" w:eastAsia="Garamond" w:hAnsi="Garamond" w:cs="Garamond"/>
          <w:sz w:val="24"/>
          <w:szCs w:val="24"/>
        </w:rPr>
        <w:t>, §§ 80-86, 96-99, 5 April 2018, and </w:t>
      </w:r>
      <w:r>
        <w:rPr>
          <w:rFonts w:ascii="Garamond" w:eastAsia="Garamond" w:hAnsi="Garamond" w:cs="Garamond"/>
          <w:i/>
          <w:sz w:val="24"/>
          <w:szCs w:val="24"/>
        </w:rPr>
        <w:t xml:space="preserve">Dos Santos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Calado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and Others v. Portugal</w:t>
      </w:r>
      <w:r>
        <w:rPr>
          <w:rFonts w:ascii="Garamond" w:eastAsia="Garamond" w:hAnsi="Garamond" w:cs="Garamond"/>
          <w:sz w:val="24"/>
          <w:szCs w:val="24"/>
        </w:rPr>
        <w:t>, nos. </w:t>
      </w:r>
      <w:hyperlink r:id="rId10">
        <w:r>
          <w:rPr>
            <w:rFonts w:ascii="Garamond" w:eastAsia="Garamond" w:hAnsi="Garamond" w:cs="Garamond"/>
            <w:color w:val="0563C1"/>
            <w:sz w:val="24"/>
            <w:szCs w:val="24"/>
            <w:u w:val="single"/>
          </w:rPr>
          <w:t>55997/14</w:t>
        </w:r>
      </w:hyperlink>
      <w:r>
        <w:rPr>
          <w:rFonts w:ascii="Garamond" w:eastAsia="Garamond" w:hAnsi="Garamond" w:cs="Garamond"/>
          <w:sz w:val="24"/>
          <w:szCs w:val="24"/>
        </w:rPr>
        <w:t> and 3 others, §§ 111-117, 31 March 2020)?</w:t>
      </w:r>
    </w:p>
    <w:p w14:paraId="00000021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14:paraId="00000022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c.  Did the applicant have at his disposal an effective domestic remedy for his Convention complaints, as required by Article 13 of the Convention?</w:t>
      </w:r>
    </w:p>
    <w:p w14:paraId="00000023" w14:textId="77777777" w:rsidR="001C1CCF" w:rsidRDefault="001C1CCF">
      <w:pPr>
        <w:jc w:val="both"/>
        <w:rPr>
          <w:rFonts w:ascii="Garamond" w:eastAsia="Garamond" w:hAnsi="Garamond" w:cs="Garamond"/>
          <w:sz w:val="24"/>
          <w:szCs w:val="24"/>
        </w:rPr>
      </w:pPr>
    </w:p>
    <w:p w14:paraId="00000024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We therefore respectfully apply for permission to present to the Court by way of intervention, our independent and up-to-date assessments of:</w:t>
      </w:r>
    </w:p>
    <w:p w14:paraId="00000025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– [INTERVENTION TOPIC]</w:t>
      </w:r>
    </w:p>
    <w:p w14:paraId="00000026" w14:textId="77777777" w:rsidR="001C1CCF" w:rsidRDefault="001C1CCF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0000027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We also respectfully request that we be granted permission to provide observations on those aspects of Austria’s response to the application which relate to these matters.</w:t>
      </w:r>
    </w:p>
    <w:p w14:paraId="00000028" w14:textId="77777777" w:rsidR="001C1CCF" w:rsidRDefault="00000000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In view </w:t>
      </w: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of [</w:t>
      </w:r>
      <w:r w:rsidRPr="00F41DB7">
        <w:rPr>
          <w:rFonts w:ascii="Garamond" w:eastAsia="Garamond" w:hAnsi="Garamond" w:cs="Garamond"/>
          <w:i/>
          <w:sz w:val="24"/>
          <w:szCs w:val="24"/>
          <w:highlight w:val="yellow"/>
        </w:rPr>
        <w:t>the important legal questions of general interest</w:t>
      </w:r>
      <w:r>
        <w:rPr>
          <w:rFonts w:ascii="Garamond" w:eastAsia="Garamond" w:hAnsi="Garamond" w:cs="Garamond"/>
          <w:sz w:val="24"/>
          <w:szCs w:val="24"/>
        </w:rPr>
        <w:t xml:space="preserve">], we respectfully submit that the interests of the proper administration of justice would be served by those with expertise on </w:t>
      </w: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[</w:t>
      </w:r>
      <w:r w:rsidRPr="00F41DB7">
        <w:rPr>
          <w:rFonts w:ascii="Garamond" w:eastAsia="Garamond" w:hAnsi="Garamond" w:cs="Garamond"/>
          <w:i/>
          <w:sz w:val="24"/>
          <w:szCs w:val="24"/>
          <w:highlight w:val="yellow"/>
        </w:rPr>
        <w:t>climate change science/climate policy/*** law</w:t>
      </w:r>
      <w:r w:rsidRPr="00F41DB7">
        <w:rPr>
          <w:rFonts w:ascii="Garamond" w:eastAsia="Garamond" w:hAnsi="Garamond" w:cs="Garamond"/>
          <w:sz w:val="24"/>
          <w:szCs w:val="24"/>
          <w:highlight w:val="yellow"/>
        </w:rPr>
        <w:t>]</w:t>
      </w:r>
      <w:r>
        <w:rPr>
          <w:rFonts w:ascii="Garamond" w:eastAsia="Garamond" w:hAnsi="Garamond" w:cs="Garamond"/>
          <w:sz w:val="24"/>
          <w:szCs w:val="24"/>
        </w:rPr>
        <w:t xml:space="preserve"> being permitted to furnish the court, by way of third-party intervention, with information relating to [</w:t>
      </w:r>
      <w:r>
        <w:rPr>
          <w:rFonts w:ascii="Garamond" w:eastAsia="Garamond" w:hAnsi="Garamond" w:cs="Garamond"/>
          <w:i/>
          <w:sz w:val="24"/>
          <w:szCs w:val="24"/>
        </w:rPr>
        <w:t>**</w:t>
      </w:r>
      <w:r>
        <w:rPr>
          <w:rFonts w:ascii="Garamond" w:eastAsia="Garamond" w:hAnsi="Garamond" w:cs="Garamond"/>
          <w:sz w:val="24"/>
          <w:szCs w:val="24"/>
        </w:rPr>
        <w:t>]. In this regard, we are of course mindful of the independent nature of the role of a third-party intervener and would not otherwise comment upon the facts or merits of the case.</w:t>
      </w:r>
    </w:p>
    <w:p w14:paraId="00000029" w14:textId="77777777" w:rsidR="001C1CCF" w:rsidRDefault="00000000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We respectfully request leave to intervene in this case accordingly.</w:t>
      </w:r>
    </w:p>
    <w:p w14:paraId="0000002A" w14:textId="77777777" w:rsidR="001C1CCF" w:rsidRDefault="00000000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Yours sincerely,</w:t>
      </w:r>
    </w:p>
    <w:p w14:paraId="0000002B" w14:textId="1D34E8CB" w:rsidR="001C1CCF" w:rsidRDefault="00000000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</w:t>
      </w:r>
      <w:proofErr w:type="spellStart"/>
      <w:r w:rsidR="00F41DB7" w:rsidRPr="00F41DB7">
        <w:rPr>
          <w:rFonts w:ascii="Garamond" w:eastAsia="Garamond" w:hAnsi="Garamond" w:cs="Garamond"/>
          <w:sz w:val="24"/>
          <w:szCs w:val="24"/>
          <w:highlight w:val="yellow"/>
        </w:rPr>
        <w:t>Unterschrift</w:t>
      </w:r>
      <w:proofErr w:type="spellEnd"/>
      <w:r w:rsidRPr="00F41DB7">
        <w:rPr>
          <w:rFonts w:ascii="Garamond" w:eastAsia="Garamond" w:hAnsi="Garamond" w:cs="Garamond"/>
          <w:sz w:val="24"/>
          <w:szCs w:val="24"/>
          <w:highlight w:val="yellow"/>
        </w:rPr>
        <w:t>____________</w:t>
      </w:r>
    </w:p>
    <w:sectPr w:rsidR="001C1CC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032DCB" w14:textId="77777777" w:rsidR="00B0173A" w:rsidRDefault="00B0173A">
      <w:pPr>
        <w:spacing w:after="0" w:line="240" w:lineRule="auto"/>
      </w:pPr>
      <w:r>
        <w:separator/>
      </w:r>
    </w:p>
  </w:endnote>
  <w:endnote w:type="continuationSeparator" w:id="0">
    <w:p w14:paraId="39E19A5E" w14:textId="77777777" w:rsidR="00B0173A" w:rsidRDefault="00B01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6779B848-685B-FB47-B0EB-4716C64580BE}"/>
    <w:embedBold r:id="rId2" w:fontKey="{6650E952-3A24-D24A-AB2D-5E90978A08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8003BF-33AA-3946-A3D2-0D340EBD06B2}"/>
    <w:embedBold r:id="rId4" w:fontKey="{DD72A5E9-12C3-A448-B70D-F0CE348FA1F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23EEF7-0E86-4C40-9395-3A95F752B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4B28C8F-1E05-2846-82CE-AEADA8181AF6}"/>
    <w:embedItalic r:id="rId7" w:fontKey="{E845C8E1-CE7F-464A-8570-8B40B165B0BA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5901B342-D1FF-6D47-9C9D-4C96EF6C6D4D}"/>
    <w:embedBold r:id="rId9" w:fontKey="{9FA8751C-52F2-5C49-9E86-DDE5613ED1CD}"/>
    <w:embedItalic r:id="rId10" w:fontKey="{9B2BF8B4-51D7-4449-9EC0-4BB86FEA913B}"/>
    <w:embedBoldItalic r:id="rId11" w:fontKey="{E6F26E54-43D9-FC42-BB8A-7E1378350EF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A19A225-B20C-4349-B5EC-C7E4A11C99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922F9C" w14:textId="77777777" w:rsidR="00B0173A" w:rsidRDefault="00B0173A">
      <w:pPr>
        <w:spacing w:after="0" w:line="240" w:lineRule="auto"/>
      </w:pPr>
      <w:r>
        <w:separator/>
      </w:r>
    </w:p>
  </w:footnote>
  <w:footnote w:type="continuationSeparator" w:id="0">
    <w:p w14:paraId="611506A4" w14:textId="77777777" w:rsidR="00B0173A" w:rsidRDefault="00B0173A">
      <w:pPr>
        <w:spacing w:after="0" w:line="240" w:lineRule="auto"/>
      </w:pPr>
      <w:r>
        <w:continuationSeparator/>
      </w:r>
    </w:p>
  </w:footnote>
  <w:footnote w:id="1">
    <w:p w14:paraId="0000002C" w14:textId="77777777" w:rsidR="001C1CC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unotenzeichen"/>
        </w:rPr>
        <w:footnoteRef/>
      </w:r>
      <w:r>
        <w:rPr>
          <w:color w:val="000000"/>
          <w:sz w:val="20"/>
          <w:szCs w:val="20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CF"/>
    <w:rsid w:val="000520F9"/>
    <w:rsid w:val="001C1CCF"/>
    <w:rsid w:val="002638C7"/>
    <w:rsid w:val="009076F0"/>
    <w:rsid w:val="00B0173A"/>
    <w:rsid w:val="00F4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6D3909"/>
  <w15:docId w15:val="{B9063F32-9882-1C47-BE14-DF38E2710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nabsatz">
    <w:name w:val="List Paragraph"/>
    <w:basedOn w:val="Standard"/>
    <w:uiPriority w:val="34"/>
    <w:qFormat/>
    <w:rsid w:val="00EC1BF3"/>
    <w:pPr>
      <w:ind w:left="720"/>
      <w:contextualSpacing/>
    </w:pPr>
  </w:style>
  <w:style w:type="paragraph" w:customStyle="1" w:styleId="Default">
    <w:name w:val="Default"/>
    <w:rsid w:val="009C56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9119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91194"/>
    <w:rPr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E91194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E91194"/>
    <w:rPr>
      <w:color w:val="0563C1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E9119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11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11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1194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11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1194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1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1194"/>
    <w:rPr>
      <w:rFonts w:ascii="Segoe UI" w:hAnsi="Segoe UI" w:cs="Segoe UI"/>
      <w:sz w:val="18"/>
      <w:szCs w:val="18"/>
      <w:lang w:val="en-GB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andardWeb">
    <w:name w:val="Normal (Web)"/>
    <w:basedOn w:val="Standard"/>
    <w:uiPriority w:val="99"/>
    <w:semiHidden/>
    <w:unhideWhenUsed/>
    <w:rsid w:val="00575002"/>
    <w:rPr>
      <w:rFonts w:ascii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rsid w:val="00575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yGzPNN7I3bxPPQy9y8FWMdiTIg==">CgMxLjAyCWguMzBqMHpsbDIJaC4xZm9iOXRlMgloLjN6bnlzaDc4AHIhMVZXaUpjMFllU2ZrYUpVcml1RWlzcDA2SU5NVDR3Ti0t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538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Liston</dc:creator>
  <cp:lastModifiedBy>Kriechbaum, Ralph</cp:lastModifiedBy>
  <cp:revision>2</cp:revision>
  <dcterms:created xsi:type="dcterms:W3CDTF">2024-07-20T08:54:00Z</dcterms:created>
  <dcterms:modified xsi:type="dcterms:W3CDTF">2024-08-28T06:47:00Z</dcterms:modified>
</cp:coreProperties>
</file>